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ED" w:rsidRPr="00AE3DED" w:rsidRDefault="00AE3DED" w:rsidP="00AE3DED">
      <w:pPr>
        <w:jc w:val="center"/>
        <w:rPr>
          <w:rFonts w:asciiTheme="majorHAnsi" w:hAnsiTheme="majorHAnsi" w:cstheme="majorHAnsi"/>
          <w:b/>
          <w:sz w:val="24"/>
          <w:szCs w:val="24"/>
          <w:u w:val="single"/>
        </w:rPr>
      </w:pPr>
      <w:r w:rsidRPr="00AE3DED">
        <w:rPr>
          <w:noProof/>
          <w:sz w:val="24"/>
          <w:szCs w:val="24"/>
          <w:lang w:eastAsia="en-GB"/>
        </w:rPr>
        <w:drawing>
          <wp:anchor distT="0" distB="0" distL="114300" distR="114300" simplePos="0" relativeHeight="251663360" behindDoc="0" locked="0" layoutInCell="1" allowOverlap="1" wp14:anchorId="6B824FF2" wp14:editId="0141DFAB">
            <wp:simplePos x="0" y="0"/>
            <wp:positionH relativeFrom="column">
              <wp:posOffset>6378854</wp:posOffset>
            </wp:positionH>
            <wp:positionV relativeFrom="paragraph">
              <wp:posOffset>-241402</wp:posOffset>
            </wp:positionV>
            <wp:extent cx="438150" cy="575945"/>
            <wp:effectExtent l="0" t="0" r="0" b="0"/>
            <wp:wrapNone/>
            <wp:docPr id="2" name="Picture 2"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sidRPr="00AE3DED">
        <w:rPr>
          <w:noProof/>
          <w:sz w:val="24"/>
          <w:szCs w:val="24"/>
          <w:lang w:eastAsia="en-GB"/>
        </w:rPr>
        <w:drawing>
          <wp:anchor distT="0" distB="0" distL="114300" distR="114300" simplePos="0" relativeHeight="251661312" behindDoc="0" locked="0" layoutInCell="1" allowOverlap="1" wp14:anchorId="49AF3707" wp14:editId="61DEDB89">
            <wp:simplePos x="0" y="0"/>
            <wp:positionH relativeFrom="column">
              <wp:posOffset>-190196</wp:posOffset>
            </wp:positionH>
            <wp:positionV relativeFrom="paragraph">
              <wp:posOffset>-236144</wp:posOffset>
            </wp:positionV>
            <wp:extent cx="438150" cy="575945"/>
            <wp:effectExtent l="0" t="0" r="0" b="0"/>
            <wp:wrapNone/>
            <wp:docPr id="4" name="Picture 4"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sidRPr="00AE3DED">
        <w:rPr>
          <w:rFonts w:asciiTheme="majorHAnsi" w:hAnsiTheme="majorHAnsi" w:cstheme="majorHAnsi"/>
          <w:b/>
          <w:sz w:val="24"/>
          <w:szCs w:val="24"/>
          <w:u w:val="single"/>
        </w:rPr>
        <w:t>BARHAM PRIMARY SCHOOL - EQUALITY OBJECTIVE</w:t>
      </w:r>
      <w:r>
        <w:rPr>
          <w:rFonts w:asciiTheme="majorHAnsi" w:hAnsiTheme="majorHAnsi" w:cstheme="majorHAnsi"/>
          <w:b/>
          <w:sz w:val="24"/>
          <w:szCs w:val="24"/>
          <w:u w:val="single"/>
        </w:rPr>
        <w:t>S</w:t>
      </w:r>
    </w:p>
    <w:p w:rsidR="00AE3DED" w:rsidRPr="00AE3DED" w:rsidRDefault="00AE3DED" w:rsidP="00AE3DED">
      <w:pPr>
        <w:jc w:val="center"/>
        <w:rPr>
          <w:rFonts w:asciiTheme="majorHAnsi" w:hAnsiTheme="majorHAnsi" w:cstheme="majorHAnsi"/>
          <w:b/>
          <w:sz w:val="24"/>
          <w:szCs w:val="24"/>
          <w:u w:val="single"/>
        </w:rPr>
      </w:pPr>
      <w:r w:rsidRPr="00AE3DED">
        <w:rPr>
          <w:rFonts w:asciiTheme="majorHAnsi" w:hAnsiTheme="majorHAnsi" w:cstheme="majorHAnsi"/>
          <w:b/>
          <w:sz w:val="24"/>
          <w:szCs w:val="24"/>
          <w:u w:val="single"/>
        </w:rPr>
        <w:t>2019-2020</w:t>
      </w:r>
    </w:p>
    <w:tbl>
      <w:tblPr>
        <w:tblpPr w:leftFromText="180" w:rightFromText="180" w:bottomFromText="160" w:vertAnchor="text" w:horzAnchor="margin" w:tblpX="-431" w:tblpY="135"/>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646"/>
      </w:tblGrid>
      <w:tr w:rsidR="00AE3DED" w:rsidRPr="00AE3DED" w:rsidTr="00AE3DED">
        <w:trPr>
          <w:trHeight w:val="480"/>
        </w:trPr>
        <w:tc>
          <w:tcPr>
            <w:tcW w:w="11335" w:type="dxa"/>
            <w:gridSpan w:val="2"/>
            <w:tcBorders>
              <w:top w:val="single" w:sz="4" w:space="0" w:color="auto"/>
              <w:left w:val="single" w:sz="4" w:space="0" w:color="auto"/>
              <w:bottom w:val="single" w:sz="4" w:space="0" w:color="auto"/>
              <w:right w:val="single" w:sz="4" w:space="0" w:color="auto"/>
            </w:tcBorders>
            <w:hideMark/>
          </w:tcPr>
          <w:p w:rsidR="00AE3DED" w:rsidRPr="00AE3DED" w:rsidRDefault="00AE3DED" w:rsidP="00AE3DED">
            <w:pPr>
              <w:spacing w:after="0" w:line="240" w:lineRule="auto"/>
              <w:jc w:val="center"/>
              <w:rPr>
                <w:rFonts w:asciiTheme="majorHAnsi" w:hAnsiTheme="majorHAnsi" w:cstheme="majorHAnsi"/>
                <w:b/>
                <w:sz w:val="24"/>
                <w:szCs w:val="24"/>
              </w:rPr>
            </w:pPr>
            <w:r w:rsidRPr="00AE3DED">
              <w:rPr>
                <w:rFonts w:asciiTheme="majorHAnsi" w:hAnsiTheme="majorHAnsi" w:cstheme="majorHAnsi"/>
                <w:b/>
                <w:sz w:val="24"/>
                <w:szCs w:val="24"/>
              </w:rPr>
              <w:t>Our Equality Objectives</w:t>
            </w:r>
          </w:p>
          <w:p w:rsidR="00AE3DED" w:rsidRPr="00AE3DED" w:rsidRDefault="00AE3DED" w:rsidP="00AE3DED">
            <w:pPr>
              <w:spacing w:after="0" w:line="240" w:lineRule="auto"/>
              <w:jc w:val="center"/>
              <w:rPr>
                <w:rFonts w:asciiTheme="majorHAnsi" w:hAnsiTheme="majorHAnsi" w:cstheme="majorHAnsi"/>
                <w:b/>
                <w:sz w:val="20"/>
                <w:szCs w:val="20"/>
              </w:rPr>
            </w:pPr>
            <w:r>
              <w:rPr>
                <w:rFonts w:asciiTheme="majorHAnsi" w:hAnsiTheme="majorHAnsi" w:cstheme="majorHAnsi"/>
                <w:b/>
                <w:sz w:val="24"/>
                <w:szCs w:val="24"/>
              </w:rPr>
              <w:t xml:space="preserve">Reviewed </w:t>
            </w:r>
            <w:r w:rsidRPr="00AE3DED">
              <w:rPr>
                <w:rFonts w:asciiTheme="majorHAnsi" w:hAnsiTheme="majorHAnsi" w:cstheme="majorHAnsi"/>
                <w:b/>
                <w:sz w:val="24"/>
                <w:szCs w:val="24"/>
              </w:rPr>
              <w:t>September 2019</w:t>
            </w:r>
          </w:p>
        </w:tc>
      </w:tr>
      <w:tr w:rsidR="00AE3DED" w:rsidRPr="00AE3DED" w:rsidTr="00AE3DED">
        <w:trPr>
          <w:trHeight w:val="698"/>
        </w:trPr>
        <w:tc>
          <w:tcPr>
            <w:tcW w:w="11335" w:type="dxa"/>
            <w:gridSpan w:val="2"/>
            <w:tcBorders>
              <w:top w:val="single" w:sz="4" w:space="0" w:color="auto"/>
              <w:left w:val="single" w:sz="4" w:space="0" w:color="auto"/>
              <w:bottom w:val="single" w:sz="4" w:space="0" w:color="auto"/>
              <w:right w:val="single" w:sz="4" w:space="0" w:color="auto"/>
            </w:tcBorders>
            <w:hideMark/>
          </w:tcPr>
          <w:p w:rsidR="00AE3DED" w:rsidRPr="00AE3DED" w:rsidRDefault="00AE3DED" w:rsidP="00AE3DED">
            <w:pPr>
              <w:spacing w:after="0" w:line="240" w:lineRule="auto"/>
              <w:ind w:left="-115"/>
              <w:rPr>
                <w:rFonts w:asciiTheme="majorHAnsi" w:hAnsiTheme="majorHAnsi" w:cstheme="majorHAnsi"/>
                <w:sz w:val="20"/>
                <w:szCs w:val="20"/>
              </w:rPr>
            </w:pPr>
            <w:r w:rsidRPr="00AE3DED">
              <w:rPr>
                <w:rFonts w:asciiTheme="majorHAnsi" w:hAnsiTheme="majorHAnsi" w:cstheme="majorHAnsi"/>
                <w:sz w:val="20"/>
                <w:szCs w:val="20"/>
              </w:rPr>
              <w:t xml:space="preserve">The Equality Act 2010 requires us to publish specific and measurable equality objectives. Our equality objectives </w:t>
            </w:r>
            <w:proofErr w:type="gramStart"/>
            <w:r w:rsidRPr="00AE3DED">
              <w:rPr>
                <w:rFonts w:asciiTheme="majorHAnsi" w:hAnsiTheme="majorHAnsi" w:cstheme="majorHAnsi"/>
                <w:sz w:val="20"/>
                <w:szCs w:val="20"/>
              </w:rPr>
              <w:t>are based</w:t>
            </w:r>
            <w:proofErr w:type="gramEnd"/>
            <w:r w:rsidRPr="00AE3DED">
              <w:rPr>
                <w:rFonts w:asciiTheme="majorHAnsi" w:hAnsiTheme="majorHAnsi" w:cstheme="majorHAnsi"/>
                <w:sz w:val="20"/>
                <w:szCs w:val="20"/>
              </w:rPr>
              <w:t xml:space="preserve"> on our analysis of data and other information. Our equality objectives focus on those areas where we have agreed to take action to improve equality and tackle disadvantages.</w:t>
            </w:r>
          </w:p>
        </w:tc>
      </w:tr>
      <w:tr w:rsidR="00AE3DED" w:rsidRPr="00AE3DED" w:rsidTr="00AE3DED">
        <w:trPr>
          <w:trHeight w:val="214"/>
        </w:trPr>
        <w:tc>
          <w:tcPr>
            <w:tcW w:w="2689" w:type="dxa"/>
            <w:tcBorders>
              <w:top w:val="single" w:sz="4" w:space="0" w:color="auto"/>
              <w:left w:val="single" w:sz="4" w:space="0" w:color="auto"/>
              <w:bottom w:val="single" w:sz="4" w:space="0" w:color="auto"/>
              <w:right w:val="single" w:sz="4" w:space="0" w:color="auto"/>
            </w:tcBorders>
            <w:hideMark/>
          </w:tcPr>
          <w:p w:rsidR="00AE3DED" w:rsidRPr="00AE3DED" w:rsidRDefault="00AE3DED" w:rsidP="00AE3DED">
            <w:pPr>
              <w:spacing w:after="0" w:line="240" w:lineRule="auto"/>
              <w:rPr>
                <w:rFonts w:asciiTheme="majorHAnsi" w:hAnsiTheme="majorHAnsi" w:cstheme="majorHAnsi"/>
                <w:b/>
                <w:sz w:val="20"/>
                <w:szCs w:val="20"/>
              </w:rPr>
            </w:pPr>
            <w:r w:rsidRPr="00AE3DED">
              <w:rPr>
                <w:rFonts w:asciiTheme="majorHAnsi" w:hAnsiTheme="majorHAnsi" w:cstheme="majorHAnsi"/>
                <w:b/>
                <w:sz w:val="20"/>
                <w:szCs w:val="20"/>
              </w:rPr>
              <w:t>Objective 1:</w:t>
            </w:r>
          </w:p>
        </w:tc>
        <w:tc>
          <w:tcPr>
            <w:tcW w:w="8646" w:type="dxa"/>
            <w:tcBorders>
              <w:top w:val="single" w:sz="4" w:space="0" w:color="auto"/>
              <w:left w:val="single" w:sz="4" w:space="0" w:color="auto"/>
              <w:bottom w:val="single" w:sz="4" w:space="0" w:color="auto"/>
              <w:right w:val="single" w:sz="4" w:space="0" w:color="auto"/>
            </w:tcBorders>
            <w:hideMark/>
          </w:tcPr>
          <w:p w:rsidR="00AE3DED" w:rsidRPr="00AE3DED" w:rsidRDefault="00AE3DED" w:rsidP="00AE3DED">
            <w:pPr>
              <w:spacing w:after="0" w:line="240" w:lineRule="auto"/>
              <w:rPr>
                <w:rFonts w:asciiTheme="majorHAnsi" w:hAnsiTheme="majorHAnsi" w:cstheme="majorHAnsi"/>
                <w:b/>
                <w:sz w:val="20"/>
                <w:szCs w:val="20"/>
              </w:rPr>
            </w:pPr>
            <w:r w:rsidRPr="00AE3DED">
              <w:rPr>
                <w:rFonts w:asciiTheme="majorHAnsi" w:hAnsiTheme="majorHAnsi" w:cstheme="majorHAnsi"/>
                <w:b/>
                <w:sz w:val="20"/>
                <w:szCs w:val="20"/>
              </w:rPr>
              <w:t>The equality objectives will be monitored:</w:t>
            </w:r>
          </w:p>
        </w:tc>
      </w:tr>
      <w:tr w:rsidR="00AE3DED" w:rsidRPr="00AE3DED" w:rsidTr="00AE3DED">
        <w:trPr>
          <w:trHeight w:val="1941"/>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3DED" w:rsidRPr="00AE3DED" w:rsidRDefault="00AE3DED" w:rsidP="00AE3DED">
            <w:pPr>
              <w:spacing w:after="0" w:line="240" w:lineRule="auto"/>
              <w:rPr>
                <w:rFonts w:asciiTheme="majorHAnsi" w:hAnsiTheme="majorHAnsi" w:cstheme="majorHAnsi"/>
                <w:bCs/>
                <w:sz w:val="20"/>
                <w:szCs w:val="20"/>
                <w:lang w:val="en-US"/>
              </w:rPr>
            </w:pPr>
            <w:r w:rsidRPr="00AE3DED">
              <w:rPr>
                <w:rFonts w:asciiTheme="majorHAnsi" w:hAnsiTheme="majorHAnsi" w:cstheme="majorHAnsi"/>
                <w:sz w:val="20"/>
                <w:szCs w:val="20"/>
              </w:rPr>
              <w:t>To include all in our Rights Respecting Agenda</w:t>
            </w:r>
            <w:proofErr w:type="gramStart"/>
            <w:r w:rsidRPr="00AE3DED">
              <w:rPr>
                <w:rFonts w:asciiTheme="majorHAnsi" w:hAnsiTheme="majorHAnsi" w:cstheme="majorHAnsi"/>
                <w:sz w:val="20"/>
                <w:szCs w:val="20"/>
              </w:rPr>
              <w:t>;</w:t>
            </w:r>
            <w:proofErr w:type="gramEnd"/>
            <w:r w:rsidRPr="00AE3DED">
              <w:rPr>
                <w:rFonts w:asciiTheme="majorHAnsi" w:hAnsiTheme="majorHAnsi" w:cstheme="majorHAnsi"/>
                <w:sz w:val="20"/>
                <w:szCs w:val="20"/>
              </w:rPr>
              <w:t xml:space="preserve"> </w:t>
            </w:r>
            <w:r w:rsidRPr="00AE3DED">
              <w:rPr>
                <w:rFonts w:asciiTheme="majorHAnsi" w:hAnsiTheme="majorHAnsi" w:cstheme="majorHAnsi"/>
                <w:bCs/>
                <w:sz w:val="20"/>
                <w:szCs w:val="20"/>
                <w:lang w:val="en-US"/>
              </w:rPr>
              <w:t xml:space="preserve">pupils, families, staff and the wider community. </w:t>
            </w:r>
          </w:p>
          <w:p w:rsidR="00AE3DED" w:rsidRPr="00AE3DED" w:rsidRDefault="00AE3DED" w:rsidP="00AE3DED">
            <w:pPr>
              <w:spacing w:after="0" w:line="240" w:lineRule="auto"/>
              <w:rPr>
                <w:rFonts w:asciiTheme="majorHAnsi" w:hAnsiTheme="majorHAnsi" w:cstheme="majorHAnsi"/>
                <w:bCs/>
                <w:sz w:val="20"/>
                <w:szCs w:val="20"/>
                <w:lang w:val="en-US"/>
              </w:rPr>
            </w:pPr>
            <w:r w:rsidRPr="00AE3DED">
              <w:rPr>
                <w:rFonts w:asciiTheme="majorHAnsi" w:hAnsiTheme="majorHAnsi" w:cstheme="majorHAnsi"/>
                <w:bCs/>
                <w:sz w:val="20"/>
                <w:szCs w:val="20"/>
                <w:lang w:val="en-US"/>
              </w:rPr>
              <w:t>To aim for a culture of ‘No Outsiders’ where all are of equal value whatever their ethnicity, race, culture, disability, religion, sexual orientation, gender, gender identity, economic circumstance or legal status is.</w:t>
            </w:r>
          </w:p>
        </w:tc>
        <w:tc>
          <w:tcPr>
            <w:tcW w:w="86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-Pupil voice</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 xml:space="preserve">-Pupil survey </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-Parent groups/classes/ surveys/ forums</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-Open door policy</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-Parent view</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-Community feedback</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-Curriculum Sampling/ moderations</w:t>
            </w:r>
            <w:bookmarkStart w:id="0" w:name="_GoBack"/>
            <w:bookmarkEnd w:id="0"/>
          </w:p>
        </w:tc>
      </w:tr>
      <w:tr w:rsidR="00AE3DED" w:rsidRPr="00AE3DED" w:rsidTr="00AE3DED">
        <w:trPr>
          <w:trHeight w:val="207"/>
        </w:trPr>
        <w:tc>
          <w:tcPr>
            <w:tcW w:w="2689" w:type="dxa"/>
            <w:tcBorders>
              <w:top w:val="single" w:sz="4" w:space="0" w:color="auto"/>
              <w:left w:val="single" w:sz="4" w:space="0" w:color="auto"/>
              <w:bottom w:val="single" w:sz="4" w:space="0" w:color="auto"/>
              <w:right w:val="single" w:sz="4" w:space="0" w:color="auto"/>
            </w:tcBorders>
            <w:hideMark/>
          </w:tcPr>
          <w:p w:rsidR="00AE3DED" w:rsidRPr="00AE3DED" w:rsidRDefault="00AE3DED" w:rsidP="00AE3DED">
            <w:pPr>
              <w:spacing w:after="0" w:line="240" w:lineRule="auto"/>
              <w:rPr>
                <w:rFonts w:asciiTheme="majorHAnsi" w:hAnsiTheme="majorHAnsi" w:cstheme="majorHAnsi"/>
                <w:b/>
                <w:sz w:val="20"/>
                <w:szCs w:val="20"/>
              </w:rPr>
            </w:pPr>
            <w:r w:rsidRPr="00AE3DED">
              <w:rPr>
                <w:rFonts w:asciiTheme="majorHAnsi" w:hAnsiTheme="majorHAnsi" w:cstheme="majorHAnsi"/>
                <w:b/>
                <w:sz w:val="20"/>
                <w:szCs w:val="20"/>
              </w:rPr>
              <w:t>Objective 2:</w:t>
            </w:r>
          </w:p>
        </w:tc>
        <w:tc>
          <w:tcPr>
            <w:tcW w:w="8646" w:type="dxa"/>
            <w:tcBorders>
              <w:top w:val="single" w:sz="4" w:space="0" w:color="auto"/>
              <w:left w:val="single" w:sz="4" w:space="0" w:color="auto"/>
              <w:bottom w:val="single" w:sz="4" w:space="0" w:color="auto"/>
              <w:right w:val="single" w:sz="4" w:space="0" w:color="auto"/>
            </w:tcBorders>
            <w:hideMark/>
          </w:tcPr>
          <w:p w:rsidR="00AE3DED" w:rsidRPr="00AE3DED" w:rsidRDefault="00AE3DED" w:rsidP="00AE3DED">
            <w:pPr>
              <w:spacing w:after="0" w:line="240" w:lineRule="auto"/>
              <w:rPr>
                <w:rFonts w:asciiTheme="majorHAnsi" w:hAnsiTheme="majorHAnsi" w:cstheme="majorHAnsi"/>
                <w:b/>
                <w:sz w:val="20"/>
                <w:szCs w:val="20"/>
              </w:rPr>
            </w:pPr>
            <w:r w:rsidRPr="00AE3DED">
              <w:rPr>
                <w:rFonts w:asciiTheme="majorHAnsi" w:hAnsiTheme="majorHAnsi" w:cstheme="majorHAnsi"/>
                <w:b/>
                <w:sz w:val="20"/>
                <w:szCs w:val="20"/>
              </w:rPr>
              <w:t>The equality objectives will be monitored:</w:t>
            </w:r>
          </w:p>
        </w:tc>
      </w:tr>
      <w:tr w:rsidR="00AE3DED" w:rsidRPr="00AE3DED" w:rsidTr="00AE3DED">
        <w:trPr>
          <w:trHeight w:val="465"/>
        </w:trPr>
        <w:tc>
          <w:tcPr>
            <w:tcW w:w="26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To enhance the proficiency of spoken language for our in year joiners that have English as an additional language through quality first teaching by tracking to ensure they meet or exceed end of year expectations. (Strategic priority 2)</w:t>
            </w:r>
          </w:p>
        </w:tc>
        <w:tc>
          <w:tcPr>
            <w:tcW w:w="8646" w:type="dxa"/>
            <w:tcBorders>
              <w:top w:val="single" w:sz="4" w:space="0" w:color="auto"/>
              <w:left w:val="single" w:sz="4" w:space="0" w:color="auto"/>
              <w:bottom w:val="single" w:sz="4" w:space="0" w:color="auto"/>
              <w:right w:val="single" w:sz="4" w:space="0" w:color="auto"/>
            </w:tcBorders>
            <w:shd w:val="clear" w:color="auto" w:fill="FFFFFF" w:themeFill="background1"/>
          </w:tcPr>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b/>
                <w:sz w:val="20"/>
                <w:szCs w:val="20"/>
                <w:u w:val="single"/>
              </w:rPr>
              <w:t>Actions:</w:t>
            </w:r>
            <w:r w:rsidRPr="00AE3DED">
              <w:rPr>
                <w:rFonts w:asciiTheme="majorHAnsi" w:hAnsiTheme="majorHAnsi" w:cstheme="majorHAnsi"/>
                <w:sz w:val="20"/>
                <w:szCs w:val="20"/>
              </w:rPr>
              <w:t xml:space="preserve"> </w:t>
            </w:r>
            <w:r w:rsidRPr="00AE3DED">
              <w:rPr>
                <w:rFonts w:asciiTheme="majorHAnsi" w:hAnsiTheme="majorHAnsi" w:cstheme="majorHAnsi"/>
                <w:sz w:val="20"/>
                <w:szCs w:val="20"/>
              </w:rPr>
              <w:br/>
            </w:r>
            <w:r w:rsidRPr="00AE3DED">
              <w:rPr>
                <w:rFonts w:asciiTheme="majorHAnsi" w:hAnsiTheme="majorHAnsi" w:cstheme="majorHAnsi"/>
                <w:i/>
                <w:sz w:val="20"/>
                <w:szCs w:val="20"/>
              </w:rPr>
              <w:t xml:space="preserve">- Investigate the causes of pupil mobility within the school </w:t>
            </w:r>
            <w:r w:rsidRPr="00AE3DED">
              <w:rPr>
                <w:rFonts w:asciiTheme="majorHAnsi" w:hAnsiTheme="majorHAnsi" w:cstheme="majorHAnsi"/>
                <w:i/>
                <w:sz w:val="20"/>
                <w:szCs w:val="20"/>
              </w:rPr>
              <w:br/>
              <w:t>- Examine the cause of mobility in schools in the context of mobile groups.</w:t>
            </w:r>
            <w:r w:rsidRPr="00AE3DED">
              <w:rPr>
                <w:rFonts w:asciiTheme="majorHAnsi" w:hAnsiTheme="majorHAnsi" w:cstheme="majorHAnsi"/>
                <w:i/>
                <w:sz w:val="20"/>
                <w:szCs w:val="20"/>
              </w:rPr>
              <w:br/>
              <w:t>- Explore challenges for managing mobility</w:t>
            </w:r>
            <w:r w:rsidRPr="00AE3DED">
              <w:rPr>
                <w:rFonts w:asciiTheme="majorHAnsi" w:hAnsiTheme="majorHAnsi" w:cstheme="majorHAnsi"/>
                <w:i/>
                <w:sz w:val="20"/>
                <w:szCs w:val="20"/>
              </w:rPr>
              <w:br/>
              <w:t>- Develop strategies to address pupil mobility by enhancing the existing good practice and providing further bespoke provision to address the barriers to accessing the English language</w:t>
            </w:r>
            <w:r w:rsidRPr="00AE3DED">
              <w:rPr>
                <w:rFonts w:asciiTheme="majorHAnsi" w:hAnsiTheme="majorHAnsi" w:cstheme="majorHAnsi"/>
                <w:sz w:val="20"/>
                <w:szCs w:val="20"/>
              </w:rPr>
              <w:t xml:space="preserve"> through:</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 xml:space="preserve">  Reviewing and further supporting the induction, assessment and monitoring of newly arrived pupils in the school and effective use of data for self‐evaluation.</w:t>
            </w:r>
          </w:p>
          <w:p w:rsidR="00AE3DED" w:rsidRPr="00AE3DED" w:rsidRDefault="00AE3DED" w:rsidP="00AE3DED">
            <w:pPr>
              <w:spacing w:after="0" w:line="240" w:lineRule="auto"/>
              <w:rPr>
                <w:rFonts w:asciiTheme="majorHAnsi" w:hAnsiTheme="majorHAnsi" w:cstheme="majorHAnsi"/>
                <w:i/>
                <w:sz w:val="20"/>
                <w:szCs w:val="20"/>
              </w:rPr>
            </w:pPr>
            <w:r w:rsidRPr="00AE3DED">
              <w:rPr>
                <w:rFonts w:asciiTheme="majorHAnsi" w:hAnsiTheme="majorHAnsi" w:cstheme="majorHAnsi"/>
                <w:b/>
                <w:sz w:val="20"/>
                <w:szCs w:val="20"/>
                <w:u w:val="single"/>
              </w:rPr>
              <w:t xml:space="preserve">Outcomes: </w:t>
            </w:r>
            <w:r w:rsidRPr="00AE3DED">
              <w:rPr>
                <w:rFonts w:asciiTheme="majorHAnsi" w:hAnsiTheme="majorHAnsi" w:cstheme="majorHAnsi"/>
                <w:sz w:val="20"/>
                <w:szCs w:val="20"/>
              </w:rPr>
              <w:br/>
            </w:r>
            <w:r w:rsidRPr="00AE3DED">
              <w:rPr>
                <w:rFonts w:asciiTheme="majorHAnsi" w:hAnsiTheme="majorHAnsi" w:cstheme="majorHAnsi"/>
                <w:i/>
                <w:sz w:val="20"/>
                <w:szCs w:val="20"/>
              </w:rPr>
              <w:t>- Confident EAL learner speakers who are able to articulate their understanding across the curriculum by using fluent, more varied and complex speech in a wider range of context</w:t>
            </w:r>
          </w:p>
          <w:p w:rsidR="00AE3DED" w:rsidRPr="00AE3DED" w:rsidRDefault="00AE3DED" w:rsidP="00AE3DED">
            <w:pPr>
              <w:spacing w:after="0" w:line="240" w:lineRule="auto"/>
              <w:rPr>
                <w:rFonts w:asciiTheme="majorHAnsi" w:hAnsiTheme="majorHAnsi" w:cstheme="majorHAnsi"/>
                <w:i/>
                <w:sz w:val="20"/>
                <w:szCs w:val="20"/>
              </w:rPr>
            </w:pPr>
            <w:r w:rsidRPr="00AE3DED">
              <w:rPr>
                <w:rFonts w:asciiTheme="majorHAnsi" w:hAnsiTheme="majorHAnsi" w:cstheme="majorHAnsi"/>
                <w:i/>
                <w:sz w:val="20"/>
                <w:szCs w:val="20"/>
              </w:rPr>
              <w:t xml:space="preserve">-Raised attainment for expected and greater depth in spoken language across the school demonstrating higher order </w:t>
            </w:r>
            <w:r w:rsidRPr="00AE3DED">
              <w:rPr>
                <w:rFonts w:asciiTheme="majorHAnsi" w:hAnsiTheme="majorHAnsi" w:cstheme="majorHAnsi"/>
                <w:bCs/>
                <w:i/>
                <w:iCs/>
                <w:sz w:val="20"/>
                <w:szCs w:val="20"/>
              </w:rPr>
              <w:t>receptive</w:t>
            </w:r>
            <w:r w:rsidRPr="00AE3DED">
              <w:rPr>
                <w:rFonts w:asciiTheme="majorHAnsi" w:hAnsiTheme="majorHAnsi" w:cstheme="majorHAnsi"/>
                <w:i/>
                <w:sz w:val="20"/>
                <w:szCs w:val="20"/>
              </w:rPr>
              <w:t xml:space="preserve"> and </w:t>
            </w:r>
            <w:r w:rsidRPr="00AE3DED">
              <w:rPr>
                <w:rFonts w:asciiTheme="majorHAnsi" w:hAnsiTheme="majorHAnsi" w:cstheme="majorHAnsi"/>
                <w:bCs/>
                <w:i/>
                <w:iCs/>
                <w:sz w:val="20"/>
                <w:szCs w:val="20"/>
              </w:rPr>
              <w:t>expressive</w:t>
            </w:r>
            <w:r w:rsidRPr="00AE3DED">
              <w:rPr>
                <w:rFonts w:asciiTheme="majorHAnsi" w:hAnsiTheme="majorHAnsi" w:cstheme="majorHAnsi"/>
                <w:i/>
                <w:sz w:val="20"/>
                <w:szCs w:val="20"/>
              </w:rPr>
              <w:t xml:space="preserve"> language </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-Children articulate their learning effectively using topic specific technical vocabulary within lessons and to the wider school community (senior leaders, visitors, governors).</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-Evidence of progress and increased attainment in speaking and listening through termly summative assessment data.</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 xml:space="preserve">-Pupil Interviews will further demonstrate progress within pupils speaking abilities through higher quality responses. </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 xml:space="preserve">-Lesson observations and Learning Walks show teachers and support staff modelling and explaining ambitious and technical vocabulary. </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 xml:space="preserve">-Children within the debate society demonstrate and model their learning to wider school community through assemblies and competitions. </w:t>
            </w:r>
          </w:p>
        </w:tc>
      </w:tr>
      <w:tr w:rsidR="00AE3DED" w:rsidRPr="00AE3DED" w:rsidTr="00AE3DED">
        <w:trPr>
          <w:trHeight w:val="174"/>
        </w:trPr>
        <w:tc>
          <w:tcPr>
            <w:tcW w:w="2689" w:type="dxa"/>
            <w:tcBorders>
              <w:top w:val="single" w:sz="4" w:space="0" w:color="auto"/>
              <w:left w:val="single" w:sz="4" w:space="0" w:color="auto"/>
              <w:bottom w:val="single" w:sz="4" w:space="0" w:color="auto"/>
              <w:right w:val="single" w:sz="4" w:space="0" w:color="auto"/>
            </w:tcBorders>
            <w:hideMark/>
          </w:tcPr>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b/>
                <w:sz w:val="20"/>
                <w:szCs w:val="20"/>
              </w:rPr>
              <w:t>Objective 3:</w:t>
            </w:r>
          </w:p>
        </w:tc>
        <w:tc>
          <w:tcPr>
            <w:tcW w:w="8646" w:type="dxa"/>
            <w:tcBorders>
              <w:top w:val="single" w:sz="4" w:space="0" w:color="auto"/>
              <w:left w:val="single" w:sz="4" w:space="0" w:color="auto"/>
              <w:bottom w:val="single" w:sz="4" w:space="0" w:color="auto"/>
              <w:right w:val="single" w:sz="4" w:space="0" w:color="auto"/>
            </w:tcBorders>
            <w:hideMark/>
          </w:tcPr>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b/>
                <w:sz w:val="20"/>
                <w:szCs w:val="20"/>
              </w:rPr>
              <w:t>The equality objectives will be monitored:</w:t>
            </w:r>
          </w:p>
        </w:tc>
      </w:tr>
      <w:tr w:rsidR="00AE3DED" w:rsidRPr="00AE3DED" w:rsidTr="00AE3DED">
        <w:trPr>
          <w:trHeight w:val="2165"/>
        </w:trPr>
        <w:tc>
          <w:tcPr>
            <w:tcW w:w="2689" w:type="dxa"/>
            <w:tcBorders>
              <w:top w:val="single" w:sz="4" w:space="0" w:color="auto"/>
              <w:left w:val="single" w:sz="4" w:space="0" w:color="auto"/>
              <w:bottom w:val="single" w:sz="4" w:space="0" w:color="auto"/>
              <w:right w:val="single" w:sz="4" w:space="0" w:color="auto"/>
            </w:tcBorders>
            <w:hideMark/>
          </w:tcPr>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To ensure that girls from around the world improve their lives through education. They are assertive active learners and are empowered to do so. They participate, progress and attain more throughout the whole curriculum. (Strategic priority 5)</w:t>
            </w:r>
          </w:p>
        </w:tc>
        <w:tc>
          <w:tcPr>
            <w:tcW w:w="8646" w:type="dxa"/>
            <w:tcBorders>
              <w:top w:val="single" w:sz="4" w:space="0" w:color="auto"/>
              <w:left w:val="single" w:sz="4" w:space="0" w:color="auto"/>
              <w:bottom w:val="single" w:sz="4" w:space="0" w:color="auto"/>
              <w:right w:val="single" w:sz="4" w:space="0" w:color="auto"/>
            </w:tcBorders>
          </w:tcPr>
          <w:p w:rsidR="00AE3DED" w:rsidRPr="00AE3DED" w:rsidRDefault="00AE3DED" w:rsidP="00AE3DED">
            <w:pPr>
              <w:spacing w:after="0" w:line="240" w:lineRule="auto"/>
              <w:rPr>
                <w:rFonts w:asciiTheme="majorHAnsi" w:hAnsiTheme="majorHAnsi" w:cstheme="majorHAnsi"/>
                <w:b/>
                <w:sz w:val="20"/>
                <w:szCs w:val="20"/>
              </w:rPr>
            </w:pPr>
            <w:r w:rsidRPr="00AE3DED">
              <w:rPr>
                <w:rFonts w:asciiTheme="majorHAnsi" w:hAnsiTheme="majorHAnsi" w:cstheme="majorHAnsi"/>
                <w:b/>
                <w:sz w:val="20"/>
                <w:szCs w:val="20"/>
                <w:u w:val="single"/>
              </w:rPr>
              <w:t>Actions:</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 xml:space="preserve">-challenge stereotypes and raise aspirations </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-identify girls who don’t engage in the same way as their peers</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 xml:space="preserve">-monitor behaviours (invisible in the classroom? </w:t>
            </w:r>
            <w:proofErr w:type="gramStart"/>
            <w:r w:rsidRPr="00AE3DED">
              <w:rPr>
                <w:rFonts w:asciiTheme="majorHAnsi" w:hAnsiTheme="majorHAnsi" w:cstheme="majorHAnsi"/>
                <w:sz w:val="20"/>
                <w:szCs w:val="20"/>
              </w:rPr>
              <w:t>Putting hands up half way up?)</w:t>
            </w:r>
            <w:proofErr w:type="gramEnd"/>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-target questions</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-respond to children’s ‘responses’</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 xml:space="preserve">-challenge and probe </w:t>
            </w:r>
          </w:p>
          <w:p w:rsidR="00AE3DED" w:rsidRPr="00AE3DED" w:rsidRDefault="00AE3DED" w:rsidP="00AE3DED">
            <w:pPr>
              <w:spacing w:after="0" w:line="240" w:lineRule="auto"/>
              <w:rPr>
                <w:rFonts w:asciiTheme="majorHAnsi" w:hAnsiTheme="majorHAnsi" w:cstheme="majorHAnsi"/>
                <w:b/>
                <w:sz w:val="20"/>
                <w:szCs w:val="20"/>
              </w:rPr>
            </w:pPr>
            <w:r w:rsidRPr="00AE3DED">
              <w:rPr>
                <w:rFonts w:asciiTheme="majorHAnsi" w:hAnsiTheme="majorHAnsi" w:cstheme="majorHAnsi"/>
                <w:b/>
                <w:sz w:val="20"/>
                <w:szCs w:val="20"/>
                <w:u w:val="single"/>
              </w:rPr>
              <w:t>Outcomes:</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-qualitative measure: changes in behaviour and engagement</w:t>
            </w:r>
          </w:p>
          <w:p w:rsidR="00AE3DED" w:rsidRPr="00AE3DED" w:rsidRDefault="00AE3DED" w:rsidP="00AE3DED">
            <w:pPr>
              <w:spacing w:after="0" w:line="240" w:lineRule="auto"/>
              <w:rPr>
                <w:rFonts w:asciiTheme="majorHAnsi" w:hAnsiTheme="majorHAnsi" w:cstheme="majorHAnsi"/>
                <w:sz w:val="20"/>
                <w:szCs w:val="20"/>
              </w:rPr>
            </w:pPr>
            <w:r w:rsidRPr="00AE3DED">
              <w:rPr>
                <w:rFonts w:asciiTheme="majorHAnsi" w:hAnsiTheme="majorHAnsi" w:cstheme="majorHAnsi"/>
                <w:sz w:val="20"/>
                <w:szCs w:val="20"/>
              </w:rPr>
              <w:t>-quantitative measure: Dec 2018; Dec 2019; July 2010</w:t>
            </w:r>
          </w:p>
        </w:tc>
      </w:tr>
    </w:tbl>
    <w:p w:rsidR="00AE3DED" w:rsidRPr="00AE3DED" w:rsidRDefault="00AE3DED" w:rsidP="00AE3DED">
      <w:pPr>
        <w:rPr>
          <w:i/>
        </w:rPr>
      </w:pPr>
      <w:r w:rsidRPr="00AE3DED">
        <w:drawing>
          <wp:anchor distT="0" distB="0" distL="114300" distR="114300" simplePos="0" relativeHeight="251659264" behindDoc="0" locked="0" layoutInCell="1" allowOverlap="1" wp14:anchorId="4E4ADC72" wp14:editId="28F7DF9A">
            <wp:simplePos x="0" y="0"/>
            <wp:positionH relativeFrom="margin">
              <wp:align>left</wp:align>
            </wp:positionH>
            <wp:positionV relativeFrom="paragraph">
              <wp:posOffset>8653704</wp:posOffset>
            </wp:positionV>
            <wp:extent cx="6590995" cy="75209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083" t="11972"/>
                    <a:stretch>
                      <a:fillRect/>
                    </a:stretch>
                  </pic:blipFill>
                  <pic:spPr bwMode="auto">
                    <a:xfrm>
                      <a:off x="0" y="0"/>
                      <a:ext cx="6590995" cy="752095"/>
                    </a:xfrm>
                    <a:prstGeom prst="rect">
                      <a:avLst/>
                    </a:prstGeom>
                    <a:noFill/>
                  </pic:spPr>
                </pic:pic>
              </a:graphicData>
            </a:graphic>
            <wp14:sizeRelH relativeFrom="page">
              <wp14:pctWidth>0</wp14:pctWidth>
            </wp14:sizeRelH>
            <wp14:sizeRelV relativeFrom="page">
              <wp14:pctHeight>0</wp14:pctHeight>
            </wp14:sizeRelV>
          </wp:anchor>
        </w:drawing>
      </w:r>
      <w:r w:rsidRPr="00AE3DED">
        <w:rPr>
          <w:i/>
        </w:rPr>
        <w:t>Objective 2:</w:t>
      </w:r>
    </w:p>
    <w:p w:rsidR="0046573D" w:rsidRDefault="0046573D"/>
    <w:sectPr w:rsidR="0046573D" w:rsidSect="00AE3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ED"/>
    <w:rsid w:val="0046573D"/>
    <w:rsid w:val="00AE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395550"/>
  <w15:chartTrackingRefBased/>
  <w15:docId w15:val="{9C7AE2CF-B694-4DCE-8866-C6E5369A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t1.gstatic.com/images?q=tbn:MhgJkg-1EvEnzM:http://www.signsbyyou.com/images/decals/140c/SDEPSL1/MASCOTS/OWL.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A7DE0749</Template>
  <TotalTime>4</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1</cp:revision>
  <dcterms:created xsi:type="dcterms:W3CDTF">2019-09-23T08:47:00Z</dcterms:created>
  <dcterms:modified xsi:type="dcterms:W3CDTF">2019-09-23T08:51:00Z</dcterms:modified>
</cp:coreProperties>
</file>